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  <w:r w:rsidRPr="00537380">
        <w:rPr>
          <w:rFonts w:ascii="Arial" w:hAnsi="Arial" w:cs="Arial"/>
          <w:b/>
        </w:rPr>
        <w:t>PLAN DE PREVISIÓN DE RECURSOS HUMANOS</w:t>
      </w:r>
      <w:r w:rsidRPr="00537380">
        <w:rPr>
          <w:rFonts w:ascii="Arial" w:hAnsi="Arial" w:cs="Arial"/>
          <w:b/>
        </w:rPr>
        <w:t xml:space="preserve"> </w:t>
      </w:r>
      <w:r w:rsidRPr="00537380">
        <w:rPr>
          <w:rFonts w:ascii="Arial" w:hAnsi="Arial" w:cs="Arial"/>
          <w:b/>
          <w:lang w:val="es-CO"/>
        </w:rPr>
        <w:t>PARA EL INSTITUTO TOLIMENSE DE FORMACION TECNICA PROFESIONAL ITFIP DEL ESPINAL TOLIMA</w:t>
      </w:r>
    </w:p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rPr>
          <w:rFonts w:ascii="Arial" w:hAnsi="Arial" w:cs="Arial"/>
          <w:b/>
          <w:color w:val="FF0000"/>
          <w:lang w:val="es-CO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  <w:r w:rsidRPr="00537380">
        <w:rPr>
          <w:rFonts w:ascii="Arial" w:hAnsi="Arial" w:cs="Arial"/>
          <w:b/>
          <w:lang w:val="es-CO"/>
        </w:rPr>
        <w:t>PROCESO DE TALENTO HUMANO</w:t>
      </w: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  <w:r w:rsidRPr="00537380">
        <w:rPr>
          <w:rFonts w:ascii="Arial" w:hAnsi="Arial" w:cs="Arial"/>
          <w:b/>
          <w:lang w:val="es-CO"/>
        </w:rPr>
        <w:t>PROFESIONAL ESPECIALIZADO CORDINADORA DEL GRUPO INTERNO DE TRABAJO DE TALENTO HUMANO</w:t>
      </w:r>
    </w:p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  <w:r w:rsidRPr="00537380">
        <w:rPr>
          <w:rFonts w:ascii="Arial" w:hAnsi="Arial" w:cs="Arial"/>
          <w:b/>
          <w:lang w:val="es-CO"/>
        </w:rPr>
        <w:t>GLORIA INES OLAYA URUEÑA</w:t>
      </w:r>
    </w:p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  <w:r w:rsidRPr="00537380">
        <w:rPr>
          <w:rFonts w:ascii="Arial" w:hAnsi="Arial" w:cs="Arial"/>
          <w:b/>
          <w:lang w:val="es-CO"/>
        </w:rPr>
        <w:t>2020</w:t>
      </w: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</w:p>
    <w:p w:rsidR="00537380" w:rsidRPr="00537380" w:rsidRDefault="00537380" w:rsidP="00537380">
      <w:pPr>
        <w:spacing w:line="360" w:lineRule="auto"/>
        <w:jc w:val="center"/>
        <w:rPr>
          <w:rFonts w:ascii="Arial" w:hAnsi="Arial" w:cs="Arial"/>
          <w:b/>
          <w:lang w:val="es-CO"/>
        </w:rPr>
      </w:pPr>
    </w:p>
    <w:p w:rsidR="00ED1259" w:rsidRDefault="00ED1259" w:rsidP="00537380">
      <w:pPr>
        <w:jc w:val="center"/>
        <w:rPr>
          <w:rFonts w:ascii="Arial" w:hAnsi="Arial" w:cs="Arial"/>
          <w:b/>
        </w:rPr>
      </w:pPr>
    </w:p>
    <w:p w:rsidR="00537380" w:rsidRDefault="00537380" w:rsidP="00537380">
      <w:pPr>
        <w:jc w:val="center"/>
        <w:rPr>
          <w:rFonts w:ascii="Arial" w:hAnsi="Arial" w:cs="Arial"/>
          <w:b/>
        </w:rPr>
      </w:pPr>
    </w:p>
    <w:p w:rsidR="00537380" w:rsidRDefault="00537380" w:rsidP="00537380">
      <w:pPr>
        <w:jc w:val="center"/>
        <w:rPr>
          <w:rFonts w:ascii="Arial" w:hAnsi="Arial" w:cs="Arial"/>
          <w:b/>
        </w:rPr>
      </w:pPr>
    </w:p>
    <w:p w:rsidR="00537380" w:rsidRPr="00537380" w:rsidRDefault="00537380" w:rsidP="00537380">
      <w:pPr>
        <w:jc w:val="both"/>
        <w:rPr>
          <w:rFonts w:ascii="Arial" w:hAnsi="Arial" w:cs="Arial"/>
          <w:b/>
          <w:i/>
        </w:rPr>
      </w:pPr>
      <w:r w:rsidRPr="00537380">
        <w:rPr>
          <w:rFonts w:ascii="Arial" w:hAnsi="Arial" w:cs="Arial"/>
          <w:b/>
          <w:i/>
        </w:rPr>
        <w:lastRenderedPageBreak/>
        <w:t xml:space="preserve">Objetivo General </w:t>
      </w:r>
    </w:p>
    <w:p w:rsidR="00537380" w:rsidRDefault="00537380" w:rsidP="00537380">
      <w:pPr>
        <w:jc w:val="both"/>
        <w:rPr>
          <w:rFonts w:ascii="Arial" w:hAnsi="Arial" w:cs="Arial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</w:rPr>
      </w:pPr>
      <w:r w:rsidRPr="00537380">
        <w:rPr>
          <w:rFonts w:ascii="Arial" w:hAnsi="Arial" w:cs="Arial"/>
        </w:rPr>
        <w:t xml:space="preserve">Consolidar la información </w:t>
      </w:r>
      <w:r>
        <w:rPr>
          <w:rFonts w:ascii="Arial" w:hAnsi="Arial" w:cs="Arial"/>
        </w:rPr>
        <w:t>relacionada</w:t>
      </w:r>
      <w:r w:rsidRPr="00537380">
        <w:rPr>
          <w:rFonts w:ascii="Arial" w:hAnsi="Arial" w:cs="Arial"/>
        </w:rPr>
        <w:t xml:space="preserve"> a los cargos vacantes de la Entidad, proyectando los cambios que tendrían lugar una vez surtidos los procesos de convocatorias adelantados con la CNSC, </w:t>
      </w:r>
      <w:r>
        <w:rPr>
          <w:rFonts w:ascii="Arial" w:hAnsi="Arial" w:cs="Arial"/>
        </w:rPr>
        <w:t>para</w:t>
      </w:r>
      <w:r w:rsidRPr="00537380">
        <w:rPr>
          <w:rFonts w:ascii="Arial" w:hAnsi="Arial" w:cs="Arial"/>
        </w:rPr>
        <w:t xml:space="preserve"> determinar las acciones al momento de provisión de las mismas, </w:t>
      </w:r>
      <w:r>
        <w:rPr>
          <w:rFonts w:ascii="Arial" w:hAnsi="Arial" w:cs="Arial"/>
        </w:rPr>
        <w:t>para</w:t>
      </w:r>
      <w:r w:rsidRPr="00537380">
        <w:rPr>
          <w:rFonts w:ascii="Arial" w:hAnsi="Arial" w:cs="Arial"/>
        </w:rPr>
        <w:t xml:space="preserve"> garantizar la continuidad y la calidad en la prestación del servicio. </w:t>
      </w: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i/>
        </w:rPr>
      </w:pPr>
      <w:r w:rsidRPr="00537380">
        <w:rPr>
          <w:rFonts w:ascii="Arial" w:hAnsi="Arial" w:cs="Arial"/>
          <w:b/>
          <w:i/>
        </w:rPr>
        <w:t>Objetivos Específicos</w:t>
      </w:r>
      <w:r w:rsidRPr="00537380">
        <w:rPr>
          <w:rFonts w:ascii="Arial" w:hAnsi="Arial" w:cs="Arial"/>
          <w:i/>
        </w:rPr>
        <w:t xml:space="preserve"> </w:t>
      </w:r>
    </w:p>
    <w:p w:rsidR="00537380" w:rsidRDefault="00537380" w:rsidP="00537380">
      <w:pPr>
        <w:spacing w:line="360" w:lineRule="auto"/>
        <w:jc w:val="both"/>
        <w:rPr>
          <w:rFonts w:ascii="Arial" w:hAnsi="Arial" w:cs="Arial"/>
        </w:rPr>
      </w:pPr>
    </w:p>
    <w:p w:rsidR="00537380" w:rsidRPr="00F445E2" w:rsidRDefault="00537380" w:rsidP="00F445E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Establecer el estado de las vacantes definitivas y temporales existentes en la planta de personal del </w:t>
      </w:r>
      <w:r w:rsidRPr="00F445E2">
        <w:rPr>
          <w:rFonts w:ascii="Arial" w:hAnsi="Arial" w:cs="Arial"/>
        </w:rPr>
        <w:t>Instituto Tolimense de Formación Técnica Profesional Itfip</w:t>
      </w:r>
      <w:r w:rsidRPr="00F445E2">
        <w:rPr>
          <w:rFonts w:ascii="Arial" w:hAnsi="Arial" w:cs="Arial"/>
        </w:rPr>
        <w:t>.</w:t>
      </w:r>
    </w:p>
    <w:p w:rsidR="00537380" w:rsidRDefault="00537380" w:rsidP="00537380">
      <w:pPr>
        <w:spacing w:line="360" w:lineRule="auto"/>
        <w:jc w:val="both"/>
        <w:rPr>
          <w:rFonts w:ascii="Arial" w:hAnsi="Arial" w:cs="Arial"/>
        </w:rPr>
      </w:pPr>
    </w:p>
    <w:p w:rsidR="00537380" w:rsidRPr="00F445E2" w:rsidRDefault="00537380" w:rsidP="00F445E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Determinar los lineamientos para la realización del proceso de provisión de los empleos cuando </w:t>
      </w:r>
      <w:r w:rsidRPr="00F445E2">
        <w:rPr>
          <w:rFonts w:ascii="Arial" w:hAnsi="Arial" w:cs="Arial"/>
        </w:rPr>
        <w:t>se requiera</w:t>
      </w:r>
      <w:r w:rsidRPr="00F445E2">
        <w:rPr>
          <w:rFonts w:ascii="Arial" w:hAnsi="Arial" w:cs="Arial"/>
        </w:rPr>
        <w:t xml:space="preserve"> (vacantes temporales y definitivas)</w:t>
      </w:r>
    </w:p>
    <w:p w:rsidR="00537380" w:rsidRDefault="00537380" w:rsidP="00537380">
      <w:pPr>
        <w:spacing w:line="360" w:lineRule="auto"/>
        <w:jc w:val="both"/>
        <w:rPr>
          <w:rFonts w:ascii="Arial" w:hAnsi="Arial" w:cs="Arial"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i/>
        </w:rPr>
      </w:pPr>
      <w:r w:rsidRPr="00537380">
        <w:rPr>
          <w:rFonts w:ascii="Arial" w:hAnsi="Arial" w:cs="Arial"/>
          <w:b/>
          <w:i/>
        </w:rPr>
        <w:t>Contexto</w:t>
      </w:r>
    </w:p>
    <w:p w:rsidR="00537380" w:rsidRDefault="00537380" w:rsidP="00537380">
      <w:pPr>
        <w:spacing w:line="360" w:lineRule="auto"/>
        <w:jc w:val="both"/>
        <w:rPr>
          <w:rFonts w:ascii="Arial" w:hAnsi="Arial" w:cs="Arial"/>
        </w:rPr>
      </w:pPr>
    </w:p>
    <w:p w:rsidR="00537380" w:rsidRDefault="00537380" w:rsidP="00537380">
      <w:pPr>
        <w:spacing w:line="360" w:lineRule="auto"/>
        <w:jc w:val="both"/>
        <w:rPr>
          <w:rFonts w:ascii="Arial" w:hAnsi="Arial" w:cs="Arial"/>
        </w:rPr>
      </w:pPr>
      <w:r w:rsidRPr="00537380">
        <w:rPr>
          <w:rFonts w:ascii="Arial" w:hAnsi="Arial" w:cs="Arial"/>
        </w:rPr>
        <w:t xml:space="preserve">El presente plan tiene como insumo el Plan Anual de Vacantes, en el cual se observa que </w:t>
      </w:r>
      <w:r>
        <w:rPr>
          <w:rFonts w:ascii="Arial" w:hAnsi="Arial" w:cs="Arial"/>
        </w:rPr>
        <w:t>existen un total de 42 vacantes definitiva</w:t>
      </w:r>
      <w:r w:rsidRPr="00537380">
        <w:rPr>
          <w:rFonts w:ascii="Arial" w:hAnsi="Arial" w:cs="Arial"/>
        </w:rPr>
        <w:t>s.</w:t>
      </w:r>
    </w:p>
    <w:p w:rsidR="00537380" w:rsidRDefault="00537380" w:rsidP="00537380">
      <w:pPr>
        <w:spacing w:line="360" w:lineRule="auto"/>
        <w:jc w:val="both"/>
        <w:rPr>
          <w:rFonts w:ascii="Arial" w:hAnsi="Arial" w:cs="Arial"/>
        </w:rPr>
      </w:pPr>
    </w:p>
    <w:tbl>
      <w:tblPr>
        <w:tblW w:w="89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898"/>
        <w:gridCol w:w="1544"/>
        <w:gridCol w:w="1082"/>
        <w:gridCol w:w="1912"/>
        <w:gridCol w:w="1513"/>
      </w:tblGrid>
      <w:tr w:rsidR="00537380" w:rsidRPr="00537380" w:rsidTr="00582541">
        <w:trPr>
          <w:trHeight w:val="315"/>
        </w:trPr>
        <w:tc>
          <w:tcPr>
            <w:tcW w:w="89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O" w:eastAsia="es-CO"/>
              </w:rPr>
            </w:pPr>
            <w:r w:rsidRPr="00537380">
              <w:rPr>
                <w:rFonts w:ascii="Arial" w:hAnsi="Arial" w:cs="Arial"/>
                <w:b/>
                <w:bCs/>
                <w:sz w:val="22"/>
                <w:szCs w:val="22"/>
              </w:rPr>
              <w:t>CUADRO PLAN ANUAL DE VACANTES ADMINISTRATIVOS</w:t>
            </w:r>
          </w:p>
        </w:tc>
      </w:tr>
      <w:tr w:rsidR="00537380" w:rsidRPr="00537380" w:rsidTr="00582541">
        <w:trPr>
          <w:trHeight w:val="73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7380">
              <w:rPr>
                <w:rFonts w:ascii="Arial" w:hAnsi="Arial" w:cs="Arial"/>
                <w:b/>
                <w:bCs/>
                <w:sz w:val="22"/>
                <w:szCs w:val="22"/>
              </w:rPr>
              <w:t>Denominación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7380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7380">
              <w:rPr>
                <w:rFonts w:ascii="Arial" w:hAnsi="Arial" w:cs="Arial"/>
                <w:b/>
                <w:bCs/>
                <w:sz w:val="22"/>
                <w:szCs w:val="22"/>
              </w:rPr>
              <w:t>Grado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7380">
              <w:rPr>
                <w:rFonts w:ascii="Arial" w:hAnsi="Arial" w:cs="Arial"/>
                <w:b/>
                <w:bCs/>
                <w:sz w:val="22"/>
                <w:szCs w:val="22"/>
              </w:rPr>
              <w:t>Tipo de planta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7380">
              <w:rPr>
                <w:rFonts w:ascii="Arial" w:hAnsi="Arial" w:cs="Arial"/>
                <w:b/>
                <w:bCs/>
                <w:sz w:val="22"/>
                <w:szCs w:val="22"/>
              </w:rPr>
              <w:t>Dependencia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73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Vacancia definitiva </w:t>
            </w:r>
          </w:p>
        </w:tc>
      </w:tr>
      <w:tr w:rsidR="00537380" w:rsidRPr="00537380" w:rsidTr="00582541">
        <w:trPr>
          <w:trHeight w:val="73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Auxiliar Administrativo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7380" w:rsidRPr="00537380" w:rsidTr="00582541">
        <w:trPr>
          <w:trHeight w:val="72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Auxiliar De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4064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37380" w:rsidRPr="00537380" w:rsidTr="00582541">
        <w:trPr>
          <w:trHeight w:val="72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lastRenderedPageBreak/>
              <w:t>Auxiliar De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4064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735"/>
        </w:trPr>
        <w:tc>
          <w:tcPr>
            <w:tcW w:w="19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Auxiliar De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4064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73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Auxiliar De Servicios Generales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4064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37380" w:rsidRPr="00537380" w:rsidTr="00582541">
        <w:trPr>
          <w:trHeight w:val="73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Auxiliar De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4064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3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Conductor Mecánico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Enfermero Auxiliar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4128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Bienestar Universitario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Operario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Operario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Operario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Operario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 xml:space="preserve">Operario calificado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Secretario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Bienestar universitario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Secretario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Financiera- créditos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Secretario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Administrativa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lastRenderedPageBreak/>
              <w:t>Secretario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4178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Facultad de Ingeniería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31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Secretario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4178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Tesorería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37380" w:rsidRPr="00537380" w:rsidTr="00582541">
        <w:trPr>
          <w:trHeight w:val="30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Secretario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Presupuesto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73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Secretario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4178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Facultad de Ciencias Sociales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96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Talento Humano - Salud Ocupacional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37380" w:rsidRPr="00537380" w:rsidTr="00582541">
        <w:trPr>
          <w:trHeight w:val="97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Académica - Servicios Académicos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72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Talento Humano - Nominas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Planeación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 xml:space="preserve">Vicerrectoría Académica 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 xml:space="preserve">Vice - </w:t>
            </w:r>
            <w:proofErr w:type="spellStart"/>
            <w:r w:rsidRPr="00537380">
              <w:rPr>
                <w:rFonts w:ascii="Arial" w:hAnsi="Arial" w:cs="Arial"/>
                <w:sz w:val="22"/>
                <w:szCs w:val="22"/>
              </w:rPr>
              <w:t>Acad</w:t>
            </w:r>
            <w:proofErr w:type="spellEnd"/>
            <w:r w:rsidRPr="00537380">
              <w:rPr>
                <w:rFonts w:ascii="Arial" w:hAnsi="Arial" w:cs="Arial"/>
                <w:sz w:val="22"/>
                <w:szCs w:val="22"/>
              </w:rPr>
              <w:t xml:space="preserve"> - CERES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 xml:space="preserve">Vice - </w:t>
            </w:r>
            <w:proofErr w:type="spellStart"/>
            <w:r w:rsidRPr="00537380">
              <w:rPr>
                <w:rFonts w:ascii="Arial" w:hAnsi="Arial" w:cs="Arial"/>
                <w:sz w:val="22"/>
                <w:szCs w:val="22"/>
              </w:rPr>
              <w:t>Acad</w:t>
            </w:r>
            <w:proofErr w:type="spellEnd"/>
            <w:r w:rsidRPr="00537380">
              <w:rPr>
                <w:rFonts w:ascii="Arial" w:hAnsi="Arial" w:cs="Arial"/>
                <w:sz w:val="22"/>
                <w:szCs w:val="22"/>
              </w:rPr>
              <w:t xml:space="preserve"> - CERES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 xml:space="preserve">Vice - </w:t>
            </w:r>
            <w:proofErr w:type="spellStart"/>
            <w:r w:rsidRPr="00537380">
              <w:rPr>
                <w:rFonts w:ascii="Arial" w:hAnsi="Arial" w:cs="Arial"/>
                <w:sz w:val="22"/>
                <w:szCs w:val="22"/>
              </w:rPr>
              <w:t>Acad</w:t>
            </w:r>
            <w:proofErr w:type="spellEnd"/>
            <w:r w:rsidRPr="00537380">
              <w:rPr>
                <w:rFonts w:ascii="Arial" w:hAnsi="Arial" w:cs="Arial"/>
                <w:sz w:val="22"/>
                <w:szCs w:val="22"/>
              </w:rPr>
              <w:t xml:space="preserve"> - CERES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 xml:space="preserve">Vice - </w:t>
            </w:r>
            <w:proofErr w:type="spellStart"/>
            <w:r w:rsidRPr="00537380">
              <w:rPr>
                <w:rFonts w:ascii="Arial" w:hAnsi="Arial" w:cs="Arial"/>
                <w:sz w:val="22"/>
                <w:szCs w:val="22"/>
              </w:rPr>
              <w:t>Acad</w:t>
            </w:r>
            <w:proofErr w:type="spellEnd"/>
            <w:r w:rsidRPr="00537380">
              <w:rPr>
                <w:rFonts w:ascii="Arial" w:hAnsi="Arial" w:cs="Arial"/>
                <w:sz w:val="22"/>
                <w:szCs w:val="22"/>
              </w:rPr>
              <w:t xml:space="preserve"> - CERES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 xml:space="preserve">Vice - </w:t>
            </w:r>
            <w:proofErr w:type="spellStart"/>
            <w:r w:rsidRPr="00537380">
              <w:rPr>
                <w:rFonts w:ascii="Arial" w:hAnsi="Arial" w:cs="Arial"/>
                <w:sz w:val="22"/>
                <w:szCs w:val="22"/>
              </w:rPr>
              <w:t>Acad</w:t>
            </w:r>
            <w:proofErr w:type="spellEnd"/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Financiera- contabilidad</w:t>
            </w:r>
          </w:p>
        </w:tc>
        <w:tc>
          <w:tcPr>
            <w:tcW w:w="15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lastRenderedPageBreak/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Convenios</w:t>
            </w:r>
          </w:p>
        </w:tc>
        <w:tc>
          <w:tcPr>
            <w:tcW w:w="15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Contratación</w:t>
            </w:r>
          </w:p>
        </w:tc>
        <w:tc>
          <w:tcPr>
            <w:tcW w:w="15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Planeación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37380" w:rsidRPr="00537380" w:rsidTr="00582541">
        <w:trPr>
          <w:trHeight w:val="73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 xml:space="preserve">Vice- </w:t>
            </w:r>
            <w:proofErr w:type="spellStart"/>
            <w:r w:rsidRPr="00537380">
              <w:rPr>
                <w:rFonts w:ascii="Arial" w:hAnsi="Arial" w:cs="Arial"/>
                <w:sz w:val="22"/>
                <w:szCs w:val="22"/>
              </w:rPr>
              <w:t>Acad</w:t>
            </w:r>
            <w:proofErr w:type="spellEnd"/>
            <w:r w:rsidRPr="00537380">
              <w:rPr>
                <w:rFonts w:ascii="Arial" w:hAnsi="Arial" w:cs="Arial"/>
                <w:sz w:val="22"/>
                <w:szCs w:val="22"/>
              </w:rPr>
              <w:t>- Registro y Control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Auxiliar De Técnico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3054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Financiera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7380" w:rsidRPr="00537380" w:rsidTr="00582541">
        <w:trPr>
          <w:trHeight w:val="72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Técnico Administrativo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3124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 xml:space="preserve">Vice - </w:t>
            </w:r>
            <w:proofErr w:type="spellStart"/>
            <w:r w:rsidRPr="00537380">
              <w:rPr>
                <w:rFonts w:ascii="Arial" w:hAnsi="Arial" w:cs="Arial"/>
                <w:sz w:val="22"/>
                <w:szCs w:val="22"/>
              </w:rPr>
              <w:t>Admon</w:t>
            </w:r>
            <w:proofErr w:type="spellEnd"/>
            <w:r w:rsidRPr="00537380">
              <w:rPr>
                <w:rFonts w:ascii="Arial" w:hAnsi="Arial" w:cs="Arial"/>
                <w:sz w:val="22"/>
                <w:szCs w:val="22"/>
              </w:rPr>
              <w:t xml:space="preserve"> - Archivo Central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7380" w:rsidRPr="00537380" w:rsidTr="00582541">
        <w:trPr>
          <w:trHeight w:val="72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Técnico Operativo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3132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 xml:space="preserve">Vice - </w:t>
            </w:r>
            <w:proofErr w:type="spellStart"/>
            <w:r w:rsidRPr="00537380">
              <w:rPr>
                <w:rFonts w:ascii="Arial" w:hAnsi="Arial" w:cs="Arial"/>
                <w:sz w:val="22"/>
                <w:szCs w:val="22"/>
              </w:rPr>
              <w:t>Adm</w:t>
            </w:r>
            <w:proofErr w:type="spellEnd"/>
            <w:r w:rsidRPr="00537380">
              <w:rPr>
                <w:rFonts w:ascii="Arial" w:hAnsi="Arial" w:cs="Arial"/>
                <w:sz w:val="22"/>
                <w:szCs w:val="22"/>
              </w:rPr>
              <w:t xml:space="preserve"> Atención al ciudadano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Técnico Operativo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3132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Talento Humano- PIC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Auxiliar administrativo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2044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Global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Académica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49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Celador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4097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 xml:space="preserve">Global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Vicerrectoría Administrativo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380" w:rsidRPr="00537380" w:rsidTr="00582541">
        <w:trPr>
          <w:trHeight w:val="69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7380">
              <w:rPr>
                <w:rFonts w:ascii="Arial" w:hAnsi="Arial" w:cs="Arial"/>
                <w:b/>
                <w:bCs/>
                <w:sz w:val="22"/>
                <w:szCs w:val="22"/>
              </w:rPr>
              <w:t>TOTAL VACANTES DEFINITIVAS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380" w:rsidRPr="00537380" w:rsidRDefault="00537380" w:rsidP="0053738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80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</w:tbl>
    <w:p w:rsidR="00537380" w:rsidRDefault="00537380" w:rsidP="00537380">
      <w:pPr>
        <w:spacing w:line="360" w:lineRule="auto"/>
        <w:jc w:val="both"/>
        <w:rPr>
          <w:rFonts w:ascii="Arial" w:hAnsi="Arial" w:cs="Arial"/>
          <w:b/>
        </w:rPr>
      </w:pP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  <w:i/>
        </w:rPr>
      </w:pPr>
      <w:r w:rsidRPr="00537380">
        <w:rPr>
          <w:rFonts w:ascii="Arial" w:hAnsi="Arial" w:cs="Arial"/>
          <w:b/>
          <w:i/>
        </w:rPr>
        <w:t xml:space="preserve">Estrategias a desarrollar </w:t>
      </w:r>
    </w:p>
    <w:p w:rsidR="00537380" w:rsidRPr="00537380" w:rsidRDefault="00537380" w:rsidP="00537380">
      <w:pPr>
        <w:spacing w:line="360" w:lineRule="auto"/>
        <w:jc w:val="both"/>
        <w:rPr>
          <w:rFonts w:ascii="Arial" w:hAnsi="Arial" w:cs="Arial"/>
          <w:b/>
        </w:rPr>
      </w:pPr>
    </w:p>
    <w:p w:rsidR="00F445E2" w:rsidRDefault="00537380" w:rsidP="00537380">
      <w:pPr>
        <w:spacing w:line="360" w:lineRule="auto"/>
        <w:jc w:val="both"/>
        <w:rPr>
          <w:rFonts w:ascii="Arial" w:hAnsi="Arial" w:cs="Arial"/>
        </w:rPr>
      </w:pPr>
      <w:r w:rsidRPr="00537380">
        <w:rPr>
          <w:rFonts w:ascii="Arial" w:hAnsi="Arial" w:cs="Arial"/>
        </w:rPr>
        <w:t xml:space="preserve">Para el proceso resultante del desarrollo de la nueva convocatoria, así como del retorno al empleo titular de los servidores en encargo, se espera desarrollar: </w:t>
      </w:r>
    </w:p>
    <w:p w:rsidR="00F445E2" w:rsidRDefault="00F445E2" w:rsidP="00537380">
      <w:pPr>
        <w:spacing w:line="360" w:lineRule="auto"/>
        <w:jc w:val="both"/>
        <w:rPr>
          <w:rFonts w:ascii="Arial" w:hAnsi="Arial" w:cs="Arial"/>
        </w:rPr>
      </w:pPr>
    </w:p>
    <w:p w:rsidR="00F445E2" w:rsidRDefault="00537380" w:rsidP="00537380">
      <w:pPr>
        <w:spacing w:line="360" w:lineRule="auto"/>
        <w:jc w:val="both"/>
        <w:rPr>
          <w:rFonts w:ascii="Arial" w:hAnsi="Arial" w:cs="Arial"/>
        </w:rPr>
      </w:pPr>
      <w:r w:rsidRPr="00537380">
        <w:rPr>
          <w:rFonts w:ascii="Arial" w:hAnsi="Arial" w:cs="Arial"/>
        </w:rPr>
        <w:t xml:space="preserve">En materia de ingreso </w:t>
      </w:r>
    </w:p>
    <w:p w:rsidR="00F445E2" w:rsidRPr="00F445E2" w:rsidRDefault="00537380" w:rsidP="00F445E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>Proceso de inducción al personal nuevo nombrado en período de prueba</w:t>
      </w:r>
    </w:p>
    <w:p w:rsidR="00537380" w:rsidRPr="00F445E2" w:rsidRDefault="00537380" w:rsidP="00F445E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lastRenderedPageBreak/>
        <w:t xml:space="preserve">Proceso de </w:t>
      </w:r>
      <w:proofErr w:type="spellStart"/>
      <w:r w:rsidRPr="00F445E2">
        <w:rPr>
          <w:rFonts w:ascii="Arial" w:hAnsi="Arial" w:cs="Arial"/>
        </w:rPr>
        <w:t>reinducción</w:t>
      </w:r>
      <w:proofErr w:type="spellEnd"/>
      <w:r w:rsidRPr="00F445E2">
        <w:rPr>
          <w:rFonts w:ascii="Arial" w:hAnsi="Arial" w:cs="Arial"/>
        </w:rPr>
        <w:t xml:space="preserve"> al personal en general, haciendo énfasis en aquellos que ocupaban transitoriamente un empleo superior.</w:t>
      </w:r>
    </w:p>
    <w:p w:rsidR="00F445E2" w:rsidRPr="00F445E2" w:rsidRDefault="00F445E2" w:rsidP="00F445E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445E2">
        <w:rPr>
          <w:rFonts w:ascii="Arial" w:hAnsi="Arial" w:cs="Arial"/>
        </w:rPr>
        <w:t>Desarrollo de programa de acogida a los nuevos servidores a partir del desarrollo de procesos de inducción en puesto de trabajo, capacitación.</w:t>
      </w:r>
    </w:p>
    <w:p w:rsidR="00F445E2" w:rsidRDefault="00F445E2" w:rsidP="00F445E2">
      <w:pPr>
        <w:spacing w:line="360" w:lineRule="auto"/>
        <w:jc w:val="both"/>
        <w:rPr>
          <w:rFonts w:ascii="Arial" w:hAnsi="Arial" w:cs="Arial"/>
          <w:b/>
        </w:rPr>
      </w:pPr>
    </w:p>
    <w:p w:rsidR="00F445E2" w:rsidRPr="00F445E2" w:rsidRDefault="00F445E2" w:rsidP="00F445E2">
      <w:p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>En materia de retiro</w:t>
      </w: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</w:p>
    <w:p w:rsidR="00F445E2" w:rsidRPr="00F445E2" w:rsidRDefault="00F445E2" w:rsidP="00F445E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F445E2">
        <w:rPr>
          <w:rFonts w:ascii="Arial" w:hAnsi="Arial" w:cs="Arial"/>
        </w:rPr>
        <w:t xml:space="preserve">Desarrollar de manera conjunta con la </w:t>
      </w:r>
      <w:r w:rsidRPr="00F445E2">
        <w:rPr>
          <w:rFonts w:ascii="Arial" w:hAnsi="Arial" w:cs="Arial"/>
        </w:rPr>
        <w:t xml:space="preserve">Coordinación </w:t>
      </w:r>
      <w:r w:rsidRPr="00F445E2">
        <w:rPr>
          <w:rFonts w:ascii="Arial" w:hAnsi="Arial" w:cs="Arial"/>
        </w:rPr>
        <w:t>de Bienestar</w:t>
      </w:r>
      <w:r w:rsidRPr="00F445E2">
        <w:rPr>
          <w:rFonts w:ascii="Arial" w:hAnsi="Arial" w:cs="Arial"/>
        </w:rPr>
        <w:t xml:space="preserve"> </w:t>
      </w:r>
      <w:r w:rsidRPr="00F445E2">
        <w:rPr>
          <w:rFonts w:ascii="Arial" w:hAnsi="Arial" w:cs="Arial"/>
        </w:rPr>
        <w:t>un plan de desvinculación asistida, donde se acompañe a los servidore</w:t>
      </w:r>
      <w:r>
        <w:rPr>
          <w:rFonts w:ascii="Arial" w:hAnsi="Arial" w:cs="Arial"/>
        </w:rPr>
        <w:t xml:space="preserve">s que se retiran de la entidad el cual contendrá acciones que </w:t>
      </w:r>
      <w:r w:rsidRPr="00F445E2">
        <w:rPr>
          <w:rFonts w:ascii="Arial" w:hAnsi="Arial" w:cs="Arial"/>
        </w:rPr>
        <w:t>les permitan ajustarse a su nueva situación laboral y condiciones propias del mercado.</w:t>
      </w:r>
    </w:p>
    <w:p w:rsidR="00F445E2" w:rsidRDefault="00F445E2" w:rsidP="00F445E2">
      <w:pPr>
        <w:spacing w:line="360" w:lineRule="auto"/>
        <w:jc w:val="both"/>
        <w:rPr>
          <w:rFonts w:ascii="Arial" w:hAnsi="Arial" w:cs="Arial"/>
          <w:b/>
        </w:rPr>
      </w:pP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Es importante mencionar que como parte del componente de Planeación, para las vacantes definitivas que a la fecha no hacen parte de ninguna convocatoria, o que se originen con posterioridad a la fecha de realización </w:t>
      </w:r>
      <w:r>
        <w:rPr>
          <w:rFonts w:ascii="Arial" w:hAnsi="Arial" w:cs="Arial"/>
        </w:rPr>
        <w:t>del</w:t>
      </w:r>
      <w:r w:rsidRPr="00F445E2">
        <w:rPr>
          <w:rFonts w:ascii="Arial" w:hAnsi="Arial" w:cs="Arial"/>
        </w:rPr>
        <w:t xml:space="preserve"> plan, se debe adelantar de manera oportuna el reporte de las mismas, según lineamientos de la CNSC. </w:t>
      </w: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Para las vacantes que se generen con ocasión de los retiros por pensión, adicional a lo establecido anteriormente como estrategia a desarrollar se </w:t>
      </w:r>
      <w:r>
        <w:rPr>
          <w:rFonts w:ascii="Arial" w:hAnsi="Arial" w:cs="Arial"/>
        </w:rPr>
        <w:t>debe generar una estrategia que permita</w:t>
      </w:r>
      <w:r w:rsidRPr="00F445E2">
        <w:rPr>
          <w:rFonts w:ascii="Arial" w:hAnsi="Arial" w:cs="Arial"/>
        </w:rPr>
        <w:t xml:space="preserve"> fortalecer el proceso de gestión del conocimiento con el fin de lograr que los conocimientos y experiencia adquirida a lo largo del tiempo por los servidores, permanezca en la Entidad </w:t>
      </w:r>
      <w:r>
        <w:rPr>
          <w:rFonts w:ascii="Arial" w:hAnsi="Arial" w:cs="Arial"/>
        </w:rPr>
        <w:t xml:space="preserve">y de esta forma la gestión </w:t>
      </w:r>
      <w:r w:rsidRPr="00F445E2">
        <w:rPr>
          <w:rFonts w:ascii="Arial" w:hAnsi="Arial" w:cs="Arial"/>
        </w:rPr>
        <w:t xml:space="preserve">tanto del personal actual como </w:t>
      </w:r>
      <w:r>
        <w:rPr>
          <w:rFonts w:ascii="Arial" w:hAnsi="Arial" w:cs="Arial"/>
        </w:rPr>
        <w:t xml:space="preserve">del que se vincule en el futuro se pueda nutrir. </w:t>
      </w: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  <w:i/>
        </w:rPr>
        <w:t>Plan de Acogida:</w:t>
      </w:r>
      <w:r w:rsidRPr="00F445E2">
        <w:rPr>
          <w:rFonts w:ascii="Arial" w:hAnsi="Arial" w:cs="Arial"/>
        </w:rPr>
        <w:t xml:space="preserve"> </w:t>
      </w:r>
    </w:p>
    <w:p w:rsidR="00F445E2" w:rsidRPr="00F445E2" w:rsidRDefault="00F445E2" w:rsidP="00F445E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Examen médico de ingreso </w:t>
      </w:r>
    </w:p>
    <w:p w:rsidR="00F445E2" w:rsidRPr="00F445E2" w:rsidRDefault="00F445E2" w:rsidP="00F445E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Curso </w:t>
      </w:r>
      <w:r w:rsidRPr="00F445E2">
        <w:rPr>
          <w:rFonts w:ascii="Arial" w:hAnsi="Arial" w:cs="Arial"/>
        </w:rPr>
        <w:t>de inducción y/o</w:t>
      </w:r>
      <w:r w:rsidRPr="00F445E2">
        <w:rPr>
          <w:rFonts w:ascii="Arial" w:hAnsi="Arial" w:cs="Arial"/>
        </w:rPr>
        <w:t xml:space="preserve"> Programa de Inducción presencial </w:t>
      </w: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</w:p>
    <w:p w:rsidR="00F445E2" w:rsidRPr="00F445E2" w:rsidRDefault="00F445E2" w:rsidP="00F445E2">
      <w:pPr>
        <w:spacing w:line="360" w:lineRule="auto"/>
        <w:jc w:val="both"/>
        <w:rPr>
          <w:rFonts w:ascii="Arial" w:hAnsi="Arial" w:cs="Arial"/>
          <w:i/>
        </w:rPr>
      </w:pPr>
      <w:r w:rsidRPr="00F445E2">
        <w:rPr>
          <w:rFonts w:ascii="Arial" w:hAnsi="Arial" w:cs="Arial"/>
          <w:i/>
        </w:rPr>
        <w:t xml:space="preserve">Plan de Desvinculación: </w:t>
      </w:r>
    </w:p>
    <w:p w:rsidR="00F445E2" w:rsidRPr="00F445E2" w:rsidRDefault="00F445E2" w:rsidP="00F445E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Examen médico de retiro </w:t>
      </w:r>
    </w:p>
    <w:p w:rsidR="00F445E2" w:rsidRPr="00F445E2" w:rsidRDefault="00F445E2" w:rsidP="00F445E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lastRenderedPageBreak/>
        <w:t xml:space="preserve">Reunión de despedida y reconocimiento </w:t>
      </w:r>
    </w:p>
    <w:p w:rsidR="00F445E2" w:rsidRPr="00F445E2" w:rsidRDefault="00F445E2" w:rsidP="00F445E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Gestión del conocimiento </w:t>
      </w: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Retorno al empleo titular: </w:t>
      </w:r>
    </w:p>
    <w:p w:rsidR="00F445E2" w:rsidRPr="00F445E2" w:rsidRDefault="00F445E2" w:rsidP="00F445E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F445E2">
        <w:rPr>
          <w:rFonts w:ascii="Arial" w:hAnsi="Arial" w:cs="Arial"/>
        </w:rPr>
        <w:t>Reinducción</w:t>
      </w:r>
      <w:proofErr w:type="spellEnd"/>
      <w:r w:rsidRPr="00F445E2">
        <w:rPr>
          <w:rFonts w:ascii="Arial" w:hAnsi="Arial" w:cs="Arial"/>
        </w:rPr>
        <w:t xml:space="preserve"> </w:t>
      </w:r>
    </w:p>
    <w:p w:rsidR="00F445E2" w:rsidRPr="00F445E2" w:rsidRDefault="00F445E2" w:rsidP="00F445E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Temas técnicos del empleo del cual es titular </w:t>
      </w: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Recursos físicos: </w:t>
      </w:r>
    </w:p>
    <w:p w:rsidR="00F445E2" w:rsidRPr="00F445E2" w:rsidRDefault="00F445E2" w:rsidP="00F445E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>Inventarios</w:t>
      </w:r>
      <w:r w:rsidRPr="00F445E2">
        <w:rPr>
          <w:rFonts w:ascii="Arial" w:hAnsi="Arial" w:cs="Arial"/>
        </w:rPr>
        <w:t xml:space="preserve"> </w:t>
      </w: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</w:p>
    <w:p w:rsidR="00F445E2" w:rsidRDefault="00F445E2" w:rsidP="00F445E2">
      <w:pPr>
        <w:spacing w:line="360" w:lineRule="auto"/>
        <w:jc w:val="both"/>
        <w:rPr>
          <w:rFonts w:ascii="Arial" w:hAnsi="Arial" w:cs="Arial"/>
        </w:rPr>
      </w:pPr>
      <w:r w:rsidRPr="00F445E2">
        <w:rPr>
          <w:rFonts w:ascii="Arial" w:hAnsi="Arial" w:cs="Arial"/>
        </w:rPr>
        <w:t xml:space="preserve">Documentos: </w:t>
      </w:r>
    </w:p>
    <w:p w:rsidR="00F445E2" w:rsidRPr="00F445E2" w:rsidRDefault="00F445E2" w:rsidP="00F445E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445E2">
        <w:rPr>
          <w:rFonts w:ascii="Arial" w:hAnsi="Arial" w:cs="Arial"/>
        </w:rPr>
        <w:t>ack up físicos y electrónicos</w:t>
      </w:r>
      <w:bookmarkStart w:id="0" w:name="_GoBack"/>
      <w:bookmarkEnd w:id="0"/>
    </w:p>
    <w:p w:rsidR="00537380" w:rsidRPr="00F445E2" w:rsidRDefault="00537380" w:rsidP="00537380">
      <w:pPr>
        <w:spacing w:line="360" w:lineRule="auto"/>
        <w:jc w:val="both"/>
        <w:rPr>
          <w:rFonts w:ascii="Arial" w:hAnsi="Arial" w:cs="Arial"/>
          <w:b/>
        </w:rPr>
      </w:pPr>
    </w:p>
    <w:sectPr w:rsidR="00537380" w:rsidRPr="00F445E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07" w:rsidRDefault="009C6E07" w:rsidP="00537380">
      <w:r>
        <w:separator/>
      </w:r>
    </w:p>
  </w:endnote>
  <w:endnote w:type="continuationSeparator" w:id="0">
    <w:p w:rsidR="009C6E07" w:rsidRDefault="009C6E07" w:rsidP="0053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07" w:rsidRDefault="009C6E07" w:rsidP="00537380">
      <w:r>
        <w:separator/>
      </w:r>
    </w:p>
  </w:footnote>
  <w:footnote w:type="continuationSeparator" w:id="0">
    <w:p w:rsidR="009C6E07" w:rsidRDefault="009C6E07" w:rsidP="00537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80" w:rsidRPr="009C12EA" w:rsidRDefault="00537380" w:rsidP="00537380">
    <w:pPr>
      <w:jc w:val="center"/>
      <w:rPr>
        <w:rFonts w:ascii="Arial" w:hAnsi="Arial" w:cs="Arial"/>
        <w:b/>
        <w:sz w:val="22"/>
        <w:szCs w:val="22"/>
      </w:rPr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9583" o:spid="_x0000_s2051" type="#_x0000_t75" style="position:absolute;left:0;text-align:left;margin-left:0;margin-top:0;width:332.9pt;height:293pt;z-index:-251655168;mso-position-horizontal:center;mso-position-horizontal-relative:margin;mso-position-vertical:center;mso-position-vertical-relative:margin" o:allowincell="f">
          <v:imagedata r:id="rId1" o:title="MARCA DE AGUA" gain="19661f" blacklevel="22938f"/>
        </v:shape>
      </w:pict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-268605</wp:posOffset>
          </wp:positionV>
          <wp:extent cx="847725" cy="840105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2EA">
      <w:rPr>
        <w:rFonts w:ascii="Arial" w:hAnsi="Arial" w:cs="Arial"/>
        <w:b/>
        <w:sz w:val="22"/>
        <w:szCs w:val="22"/>
      </w:rPr>
      <w:t>“</w:t>
    </w:r>
    <w:r w:rsidRPr="0011384D">
      <w:rPr>
        <w:rFonts w:ascii="Arial" w:hAnsi="Arial" w:cs="Arial"/>
        <w:b/>
      </w:rPr>
      <w:t>ITFIP</w:t>
    </w:r>
    <w:r w:rsidRPr="009C12EA">
      <w:rPr>
        <w:rFonts w:ascii="Arial" w:hAnsi="Arial" w:cs="Arial"/>
        <w:b/>
        <w:sz w:val="22"/>
        <w:szCs w:val="22"/>
      </w:rPr>
      <w:t xml:space="preserve">” </w:t>
    </w:r>
    <w:r>
      <w:rPr>
        <w:rFonts w:ascii="Arial" w:hAnsi="Arial" w:cs="Arial"/>
        <w:b/>
        <w:sz w:val="22"/>
        <w:szCs w:val="22"/>
      </w:rPr>
      <w:t>I</w:t>
    </w:r>
    <w:r w:rsidRPr="009C12EA">
      <w:rPr>
        <w:rFonts w:ascii="Arial" w:hAnsi="Arial" w:cs="Arial"/>
        <w:b/>
        <w:sz w:val="22"/>
        <w:szCs w:val="22"/>
      </w:rPr>
      <w:t>NSTITU</w:t>
    </w:r>
    <w:r>
      <w:rPr>
        <w:rFonts w:ascii="Arial" w:hAnsi="Arial" w:cs="Arial"/>
        <w:b/>
        <w:sz w:val="22"/>
        <w:szCs w:val="22"/>
      </w:rPr>
      <w:t>CIÓN DE EDUCACIÓ</w:t>
    </w:r>
    <w:r w:rsidRPr="009C12EA">
      <w:rPr>
        <w:rFonts w:ascii="Arial" w:hAnsi="Arial" w:cs="Arial"/>
        <w:b/>
        <w:sz w:val="22"/>
        <w:szCs w:val="22"/>
      </w:rPr>
      <w:t>N SUPERIOR</w:t>
    </w:r>
  </w:p>
  <w:p w:rsidR="00537380" w:rsidRDefault="00537380" w:rsidP="00537380">
    <w:pPr>
      <w:jc w:val="center"/>
      <w:rPr>
        <w:rFonts w:ascii="Arial" w:hAnsi="Arial" w:cs="Arial"/>
        <w:sz w:val="18"/>
        <w:szCs w:val="18"/>
      </w:rPr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1170305</wp:posOffset>
              </wp:positionH>
              <wp:positionV relativeFrom="paragraph">
                <wp:posOffset>-1271</wp:posOffset>
              </wp:positionV>
              <wp:extent cx="3623310" cy="0"/>
              <wp:effectExtent l="0" t="0" r="1524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233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15pt,-.1pt" to="377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"/>
          </w:pict>
        </mc:Fallback>
      </mc:AlternateContent>
    </w:r>
    <w:r w:rsidRPr="0093500C">
      <w:rPr>
        <w:rFonts w:ascii="Arial" w:hAnsi="Arial" w:cs="Arial"/>
        <w:sz w:val="18"/>
        <w:szCs w:val="18"/>
      </w:rPr>
      <w:t xml:space="preserve">Establecimiento público adscrito al  </w:t>
    </w:r>
    <w:r>
      <w:rPr>
        <w:rFonts w:ascii="Arial" w:hAnsi="Arial" w:cs="Arial"/>
        <w:sz w:val="18"/>
        <w:szCs w:val="18"/>
      </w:rPr>
      <w:t xml:space="preserve">Ministerio de </w:t>
    </w:r>
    <w:r w:rsidRPr="0093500C"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</w:rPr>
      <w:t xml:space="preserve">ducación </w:t>
    </w:r>
    <w:r w:rsidRPr="0093500C">
      <w:rPr>
        <w:rFonts w:ascii="Arial" w:hAnsi="Arial" w:cs="Arial"/>
        <w:sz w:val="18"/>
        <w:szCs w:val="18"/>
      </w:rPr>
      <w:t>N</w:t>
    </w:r>
    <w:r>
      <w:rPr>
        <w:rFonts w:ascii="Arial" w:hAnsi="Arial" w:cs="Arial"/>
        <w:sz w:val="18"/>
        <w:szCs w:val="18"/>
      </w:rPr>
      <w:t>acional</w:t>
    </w:r>
  </w:p>
  <w:p w:rsidR="00537380" w:rsidRDefault="00537380" w:rsidP="00537380">
    <w:pPr>
      <w:tabs>
        <w:tab w:val="left" w:pos="1620"/>
        <w:tab w:val="center" w:pos="4702"/>
        <w:tab w:val="left" w:pos="58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3500C">
      <w:rPr>
        <w:rFonts w:ascii="Arial" w:hAnsi="Arial" w:cs="Arial"/>
        <w:sz w:val="18"/>
        <w:szCs w:val="18"/>
      </w:rPr>
      <w:t>NIT  800.173.719.0</w:t>
    </w:r>
    <w:r>
      <w:rPr>
        <w:rFonts w:ascii="Arial" w:hAnsi="Arial" w:cs="Arial"/>
        <w:sz w:val="18"/>
        <w:szCs w:val="18"/>
      </w:rPr>
      <w:tab/>
    </w:r>
  </w:p>
  <w:p w:rsidR="00537380" w:rsidRDefault="00537380" w:rsidP="00537380">
    <w:pPr>
      <w:jc w:val="center"/>
    </w:pPr>
    <w:hyperlink r:id="rId3" w:history="1">
      <w:r w:rsidRPr="00DE6A68">
        <w:rPr>
          <w:rStyle w:val="Hipervnculo"/>
          <w:rFonts w:cs="Arial"/>
          <w:sz w:val="18"/>
          <w:szCs w:val="18"/>
        </w:rPr>
        <w:t>www.itfip.edu.co</w:t>
      </w:r>
    </w:hyperlink>
  </w:p>
  <w:p w:rsidR="00537380" w:rsidRDefault="005373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4AE"/>
    <w:multiLevelType w:val="hybridMultilevel"/>
    <w:tmpl w:val="5D7A74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1778A"/>
    <w:multiLevelType w:val="hybridMultilevel"/>
    <w:tmpl w:val="E4841A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65D13"/>
    <w:multiLevelType w:val="hybridMultilevel"/>
    <w:tmpl w:val="C9126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62093"/>
    <w:multiLevelType w:val="hybridMultilevel"/>
    <w:tmpl w:val="9A3461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1A5E"/>
    <w:multiLevelType w:val="hybridMultilevel"/>
    <w:tmpl w:val="A1CEE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85C92"/>
    <w:multiLevelType w:val="hybridMultilevel"/>
    <w:tmpl w:val="11B24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80"/>
    <w:rsid w:val="00537380"/>
    <w:rsid w:val="009C6E07"/>
    <w:rsid w:val="00ED1259"/>
    <w:rsid w:val="00F4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738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7380"/>
  </w:style>
  <w:style w:type="paragraph" w:styleId="Piedepgina">
    <w:name w:val="footer"/>
    <w:basedOn w:val="Normal"/>
    <w:link w:val="PiedepginaCar"/>
    <w:uiPriority w:val="99"/>
    <w:unhideWhenUsed/>
    <w:rsid w:val="0053738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7380"/>
  </w:style>
  <w:style w:type="character" w:styleId="Hipervnculo">
    <w:name w:val="Hyperlink"/>
    <w:uiPriority w:val="99"/>
    <w:rsid w:val="005373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44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738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7380"/>
  </w:style>
  <w:style w:type="paragraph" w:styleId="Piedepgina">
    <w:name w:val="footer"/>
    <w:basedOn w:val="Normal"/>
    <w:link w:val="PiedepginaCar"/>
    <w:uiPriority w:val="99"/>
    <w:unhideWhenUsed/>
    <w:rsid w:val="0053738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7380"/>
  </w:style>
  <w:style w:type="character" w:styleId="Hipervnculo">
    <w:name w:val="Hyperlink"/>
    <w:uiPriority w:val="99"/>
    <w:rsid w:val="005373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4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fip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2A2B-9761-4075-BE5E-F91B7F0D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ARIAS</dc:creator>
  <cp:lastModifiedBy>ARIAS</cp:lastModifiedBy>
  <cp:revision>1</cp:revision>
  <dcterms:created xsi:type="dcterms:W3CDTF">2020-01-24T03:41:00Z</dcterms:created>
  <dcterms:modified xsi:type="dcterms:W3CDTF">2020-01-24T04:01:00Z</dcterms:modified>
</cp:coreProperties>
</file>